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3A5FC" w14:textId="29027B49" w:rsidR="000B65FD" w:rsidRPr="00771CAC" w:rsidRDefault="005533E5" w:rsidP="00BC7B70">
      <w:pPr>
        <w:jc w:val="center"/>
        <w:rPr>
          <w:rFonts w:ascii="Bookman Old Style" w:hAnsi="Bookman Old Style"/>
          <w:b/>
          <w:bCs/>
        </w:rPr>
      </w:pPr>
      <w:r>
        <w:rPr>
          <w:rFonts w:ascii="Bookman Old Style" w:hAnsi="Bookman Old Style"/>
          <w:b/>
          <w:bCs/>
        </w:rPr>
        <w:t xml:space="preserve">Sample </w:t>
      </w:r>
      <w:r w:rsidR="00682C74" w:rsidRPr="00771CAC">
        <w:rPr>
          <w:rFonts w:ascii="Bookman Old Style" w:hAnsi="Bookman Old Style"/>
          <w:b/>
          <w:bCs/>
        </w:rPr>
        <w:t xml:space="preserve">County </w:t>
      </w:r>
      <w:r w:rsidR="00BC7B70" w:rsidRPr="00771CAC">
        <w:rPr>
          <w:rFonts w:ascii="Bookman Old Style" w:hAnsi="Bookman Old Style"/>
          <w:b/>
          <w:bCs/>
        </w:rPr>
        <w:t>Right-To-Use Lease Asset Policy</w:t>
      </w:r>
    </w:p>
    <w:p w14:paraId="72C1D3E9" w14:textId="47F765D2" w:rsidR="004C2F1E" w:rsidRPr="00771CAC" w:rsidRDefault="004C2F1E" w:rsidP="009E5970">
      <w:pPr>
        <w:jc w:val="both"/>
        <w:rPr>
          <w:rFonts w:ascii="Bookman Old Style" w:hAnsi="Bookman Old Style"/>
        </w:rPr>
      </w:pPr>
      <w:r w:rsidRPr="00771CAC">
        <w:rPr>
          <w:rFonts w:ascii="Bookman Old Style" w:hAnsi="Bookman Old Style"/>
        </w:rPr>
        <w:t xml:space="preserve">GASB Statement No. 87, “Leases”, is effective </w:t>
      </w:r>
      <w:r w:rsidRPr="00771CAC">
        <w:rPr>
          <w:rFonts w:ascii="Bookman Old Style" w:hAnsi="Bookman Old Style"/>
          <w:b/>
          <w:bCs/>
        </w:rPr>
        <w:t xml:space="preserve">beginning July </w:t>
      </w:r>
      <w:r w:rsidR="000623B3" w:rsidRPr="00771CAC">
        <w:rPr>
          <w:rFonts w:ascii="Bookman Old Style" w:hAnsi="Bookman Old Style"/>
          <w:b/>
          <w:bCs/>
        </w:rPr>
        <w:t>1</w:t>
      </w:r>
      <w:r w:rsidRPr="00771CAC">
        <w:rPr>
          <w:rFonts w:ascii="Bookman Old Style" w:hAnsi="Bookman Old Style"/>
          <w:b/>
          <w:bCs/>
        </w:rPr>
        <w:t>, 2021.</w:t>
      </w:r>
      <w:r w:rsidRPr="00771CAC">
        <w:rPr>
          <w:rFonts w:ascii="Bookman Old Style" w:hAnsi="Bookman Old Style"/>
        </w:rPr>
        <w:t xml:space="preserve">  (FY2022).</w:t>
      </w:r>
      <w:r w:rsidR="00A57FCA" w:rsidRPr="00771CAC">
        <w:rPr>
          <w:rFonts w:ascii="Bookman Old Style" w:hAnsi="Bookman Old Style"/>
        </w:rPr>
        <w:t xml:space="preserve">  GASB 87 requires a lessee to recognize a lease liability and an intangible right-to-use lease asset</w:t>
      </w:r>
      <w:r w:rsidR="000F65A0">
        <w:rPr>
          <w:rFonts w:ascii="Bookman Old Style" w:hAnsi="Bookman Old Style"/>
        </w:rPr>
        <w:t>.</w:t>
      </w:r>
      <w:r w:rsidR="00FC3F16" w:rsidRPr="00771CAC">
        <w:rPr>
          <w:rFonts w:ascii="Bookman Old Style" w:hAnsi="Bookman Old Style"/>
        </w:rPr>
        <w:t xml:space="preserve"> </w:t>
      </w:r>
    </w:p>
    <w:p w14:paraId="54B7321B" w14:textId="2565679E" w:rsidR="00026127" w:rsidRPr="00771CAC" w:rsidRDefault="00026127" w:rsidP="009E5970">
      <w:pPr>
        <w:jc w:val="both"/>
        <w:rPr>
          <w:rFonts w:ascii="Bookman Old Style" w:hAnsi="Bookman Old Style"/>
        </w:rPr>
      </w:pPr>
      <w:r w:rsidRPr="00771CAC">
        <w:rPr>
          <w:rFonts w:ascii="Bookman Old Style" w:hAnsi="Bookman Old Style"/>
        </w:rPr>
        <w:t xml:space="preserve">For counties reporting on the accrual basis of accounting, the cumulative effect, if any, </w:t>
      </w:r>
      <w:r w:rsidR="00A55D17" w:rsidRPr="00771CAC">
        <w:rPr>
          <w:rFonts w:ascii="Bookman Old Style" w:hAnsi="Bookman Old Style"/>
        </w:rPr>
        <w:t>may</w:t>
      </w:r>
      <w:r w:rsidR="002A54D1" w:rsidRPr="00771CAC">
        <w:rPr>
          <w:rFonts w:ascii="Bookman Old Style" w:hAnsi="Bookman Old Style"/>
        </w:rPr>
        <w:t xml:space="preserve"> require a restatement of beginning net position, fund balance, or fund net position (as applicable).  </w:t>
      </w:r>
      <w:r w:rsidR="002A54D1" w:rsidRPr="00771CAC">
        <w:rPr>
          <w:rFonts w:ascii="Bookman Old Style" w:hAnsi="Bookman Old Style"/>
          <w:b/>
          <w:bCs/>
        </w:rPr>
        <w:t xml:space="preserve">This means leases in existence on June 30, </w:t>
      </w:r>
      <w:proofErr w:type="gramStart"/>
      <w:r w:rsidR="002A54D1" w:rsidRPr="00771CAC">
        <w:rPr>
          <w:rFonts w:ascii="Bookman Old Style" w:hAnsi="Bookman Old Style"/>
          <w:b/>
          <w:bCs/>
        </w:rPr>
        <w:t>2021</w:t>
      </w:r>
      <w:proofErr w:type="gramEnd"/>
      <w:r w:rsidR="002A54D1" w:rsidRPr="00771CAC">
        <w:rPr>
          <w:rFonts w:ascii="Bookman Old Style" w:hAnsi="Bookman Old Style"/>
          <w:b/>
          <w:bCs/>
        </w:rPr>
        <w:t xml:space="preserve"> will need to be reported as the beginning balance </w:t>
      </w:r>
      <w:r w:rsidR="00330A39">
        <w:rPr>
          <w:rFonts w:ascii="Bookman Old Style" w:hAnsi="Bookman Old Style"/>
          <w:b/>
          <w:bCs/>
        </w:rPr>
        <w:t>(July 1</w:t>
      </w:r>
      <w:r w:rsidR="00300785">
        <w:rPr>
          <w:rFonts w:ascii="Bookman Old Style" w:hAnsi="Bookman Old Style"/>
          <w:b/>
          <w:bCs/>
        </w:rPr>
        <w:t>, 2021</w:t>
      </w:r>
      <w:r w:rsidR="00330A39">
        <w:rPr>
          <w:rFonts w:ascii="Bookman Old Style" w:hAnsi="Bookman Old Style"/>
          <w:b/>
          <w:bCs/>
        </w:rPr>
        <w:t xml:space="preserve">) </w:t>
      </w:r>
      <w:r w:rsidR="002A54D1" w:rsidRPr="00771CAC">
        <w:rPr>
          <w:rFonts w:ascii="Bookman Old Style" w:hAnsi="Bookman Old Style"/>
          <w:b/>
          <w:bCs/>
        </w:rPr>
        <w:t>for leases of FY2022.</w:t>
      </w:r>
      <w:r w:rsidR="002A54D1" w:rsidRPr="00771CAC">
        <w:rPr>
          <w:rFonts w:ascii="Bookman Old Style" w:hAnsi="Bookman Old Style"/>
        </w:rPr>
        <w:t xml:space="preserve">  </w:t>
      </w:r>
    </w:p>
    <w:p w14:paraId="7AC421A2" w14:textId="77777777" w:rsidR="00C41CD5" w:rsidRPr="00771CAC" w:rsidRDefault="00C41CD5" w:rsidP="00C41CD5">
      <w:pPr>
        <w:jc w:val="both"/>
        <w:rPr>
          <w:rFonts w:ascii="Bookman Old Style" w:hAnsi="Bookman Old Style"/>
        </w:rPr>
      </w:pPr>
      <w:r w:rsidRPr="00771CAC">
        <w:rPr>
          <w:rFonts w:ascii="Bookman Old Style" w:hAnsi="Bookman Old Style"/>
        </w:rPr>
        <w:t xml:space="preserve">A right-to-use lease asset is an intangible capital asset.  The asset represents the right to use an underlying asset identified in a lease contract, as specified for </w:t>
      </w:r>
      <w:proofErr w:type="gramStart"/>
      <w:r w:rsidRPr="00771CAC">
        <w:rPr>
          <w:rFonts w:ascii="Bookman Old Style" w:hAnsi="Bookman Old Style"/>
        </w:rPr>
        <w:t>a period of time</w:t>
      </w:r>
      <w:proofErr w:type="gramEnd"/>
      <w:r w:rsidRPr="00771CAC">
        <w:rPr>
          <w:rFonts w:ascii="Bookman Old Style" w:hAnsi="Bookman Old Style"/>
        </w:rPr>
        <w:t>.  The County will recognize the intangible right-to-use lease asset when:</w:t>
      </w:r>
    </w:p>
    <w:p w14:paraId="514B3A2A" w14:textId="75DE924A" w:rsidR="00C41CD5" w:rsidRPr="00771CAC" w:rsidRDefault="00C41CD5" w:rsidP="00C41CD5">
      <w:pPr>
        <w:pStyle w:val="ListParagraph"/>
        <w:numPr>
          <w:ilvl w:val="0"/>
          <w:numId w:val="4"/>
        </w:numPr>
        <w:jc w:val="both"/>
        <w:rPr>
          <w:rFonts w:ascii="Bookman Old Style" w:hAnsi="Bookman Old Style"/>
          <w:sz w:val="18"/>
          <w:szCs w:val="18"/>
        </w:rPr>
      </w:pPr>
      <w:r w:rsidRPr="00771CAC">
        <w:rPr>
          <w:rFonts w:ascii="Bookman Old Style" w:hAnsi="Bookman Old Style"/>
        </w:rPr>
        <w:t xml:space="preserve">The contract conveys control of the right to use another entity’s nonfinancial asset (the underlying asset) as specified in the contract for </w:t>
      </w:r>
      <w:proofErr w:type="gramStart"/>
      <w:r w:rsidRPr="00771CAC">
        <w:rPr>
          <w:rFonts w:ascii="Bookman Old Style" w:hAnsi="Bookman Old Style"/>
        </w:rPr>
        <w:t>a period of time</w:t>
      </w:r>
      <w:proofErr w:type="gramEnd"/>
      <w:r w:rsidRPr="00771CAC">
        <w:rPr>
          <w:rFonts w:ascii="Bookman Old Style" w:hAnsi="Bookman Old Style"/>
        </w:rPr>
        <w:t xml:space="preserve"> in an exchange or exchange-like transaction.</w:t>
      </w:r>
      <w:r w:rsidR="00731658" w:rsidRPr="00771CAC">
        <w:rPr>
          <w:rFonts w:ascii="Bookman Old Style" w:hAnsi="Bookman Old Style"/>
        </w:rPr>
        <w:t xml:space="preserve"> (</w:t>
      </w:r>
      <w:r w:rsidR="00731658" w:rsidRPr="00771CAC">
        <w:rPr>
          <w:rFonts w:ascii="Bookman Old Style" w:hAnsi="Bookman Old Style"/>
          <w:sz w:val="18"/>
          <w:szCs w:val="18"/>
        </w:rPr>
        <w:t>GASB 87, paragraph 4)</w:t>
      </w:r>
    </w:p>
    <w:p w14:paraId="4E032FE7" w14:textId="77777777" w:rsidR="00C41CD5" w:rsidRPr="00771CAC" w:rsidRDefault="00C41CD5" w:rsidP="00C41CD5">
      <w:pPr>
        <w:pStyle w:val="ListParagraph"/>
        <w:numPr>
          <w:ilvl w:val="0"/>
          <w:numId w:val="4"/>
        </w:numPr>
        <w:jc w:val="both"/>
        <w:rPr>
          <w:rFonts w:ascii="Bookman Old Style" w:hAnsi="Bookman Old Style"/>
        </w:rPr>
      </w:pPr>
      <w:r w:rsidRPr="00771CAC">
        <w:rPr>
          <w:rFonts w:ascii="Bookman Old Style" w:hAnsi="Bookman Old Style"/>
        </w:rPr>
        <w:t>The minimum noncancelable contract term is greater than twelve months.</w:t>
      </w:r>
    </w:p>
    <w:p w14:paraId="6B51982B" w14:textId="77777777" w:rsidR="00C41CD5" w:rsidRPr="00771CAC" w:rsidRDefault="00C41CD5" w:rsidP="00C41CD5">
      <w:pPr>
        <w:pStyle w:val="ListParagraph"/>
        <w:numPr>
          <w:ilvl w:val="0"/>
          <w:numId w:val="4"/>
        </w:numPr>
        <w:jc w:val="both"/>
        <w:rPr>
          <w:rFonts w:ascii="Bookman Old Style" w:hAnsi="Bookman Old Style"/>
        </w:rPr>
      </w:pPr>
      <w:r w:rsidRPr="00771CAC">
        <w:rPr>
          <w:rFonts w:ascii="Bookman Old Style" w:hAnsi="Bookman Old Style"/>
        </w:rPr>
        <w:t>The contract does not transfer ownership of the underlying asset.</w:t>
      </w:r>
    </w:p>
    <w:p w14:paraId="3845C3B3" w14:textId="48E73FA8" w:rsidR="00C41CD5" w:rsidRPr="00771CAC" w:rsidRDefault="00C41CD5" w:rsidP="00C41CD5">
      <w:pPr>
        <w:pStyle w:val="ListParagraph"/>
        <w:numPr>
          <w:ilvl w:val="0"/>
          <w:numId w:val="4"/>
        </w:numPr>
        <w:jc w:val="both"/>
        <w:rPr>
          <w:rFonts w:ascii="Bookman Old Style" w:hAnsi="Bookman Old Style"/>
        </w:rPr>
      </w:pPr>
      <w:r w:rsidRPr="00771CAC">
        <w:rPr>
          <w:rFonts w:ascii="Bookman Old Style" w:hAnsi="Bookman Old Style"/>
        </w:rPr>
        <w:t>The underlying asset is used to conduct county business</w:t>
      </w:r>
      <w:r w:rsidR="00E218DF">
        <w:rPr>
          <w:rFonts w:ascii="Bookman Old Style" w:hAnsi="Bookman Old Style"/>
        </w:rPr>
        <w:t xml:space="preserve">.  </w:t>
      </w:r>
      <w:r w:rsidR="00A61178">
        <w:rPr>
          <w:rFonts w:ascii="Bookman Old Style" w:hAnsi="Bookman Old Style"/>
        </w:rPr>
        <w:t>(This will not apply to custodial funds.)</w:t>
      </w:r>
    </w:p>
    <w:p w14:paraId="42070AAF" w14:textId="3029ADEB" w:rsidR="00C34DE2" w:rsidRPr="00771CAC" w:rsidRDefault="00C34DE2" w:rsidP="00C34DE2">
      <w:pPr>
        <w:ind w:left="360"/>
        <w:jc w:val="both"/>
        <w:rPr>
          <w:rFonts w:ascii="Bookman Old Style" w:hAnsi="Bookman Old Style"/>
          <w:sz w:val="18"/>
          <w:szCs w:val="18"/>
        </w:rPr>
      </w:pPr>
      <w:r w:rsidRPr="00771CAC">
        <w:rPr>
          <w:rFonts w:ascii="Bookman Old Style" w:hAnsi="Bookman Old Style"/>
          <w:u w:val="single"/>
        </w:rPr>
        <w:t xml:space="preserve">The following leases are </w:t>
      </w:r>
      <w:r w:rsidR="00DA153D" w:rsidRPr="00771CAC">
        <w:rPr>
          <w:rFonts w:ascii="Bookman Old Style" w:hAnsi="Bookman Old Style"/>
          <w:u w:val="single"/>
        </w:rPr>
        <w:t xml:space="preserve">not GASB 87 leases and are </w:t>
      </w:r>
      <w:r w:rsidRPr="00771CAC">
        <w:rPr>
          <w:rFonts w:ascii="Bookman Old Style" w:hAnsi="Bookman Old Style"/>
          <w:u w:val="single"/>
        </w:rPr>
        <w:t>excluded from this policy</w:t>
      </w:r>
      <w:r w:rsidRPr="00771CAC">
        <w:rPr>
          <w:rFonts w:ascii="Bookman Old Style" w:hAnsi="Bookman Old Style"/>
        </w:rPr>
        <w:t>:</w:t>
      </w:r>
      <w:r w:rsidR="00DA153D" w:rsidRPr="00771CAC">
        <w:rPr>
          <w:rFonts w:ascii="Bookman Old Style" w:hAnsi="Bookman Old Style"/>
        </w:rPr>
        <w:t xml:space="preserve"> </w:t>
      </w:r>
      <w:r w:rsidR="00DA153D" w:rsidRPr="00771CAC">
        <w:rPr>
          <w:rFonts w:ascii="Bookman Old Style" w:hAnsi="Bookman Old Style"/>
        </w:rPr>
        <w:br/>
      </w:r>
      <w:r w:rsidR="00DA153D" w:rsidRPr="00771CAC">
        <w:rPr>
          <w:rFonts w:ascii="Bookman Old Style" w:hAnsi="Bookman Old Style"/>
          <w:sz w:val="18"/>
          <w:szCs w:val="18"/>
        </w:rPr>
        <w:t>(GASB 87, paragraph 8)</w:t>
      </w:r>
      <w:r w:rsidRPr="00771CAC">
        <w:rPr>
          <w:rFonts w:ascii="Bookman Old Style" w:hAnsi="Bookman Old Style"/>
          <w:sz w:val="18"/>
          <w:szCs w:val="18"/>
        </w:rPr>
        <w:t xml:space="preserve">  </w:t>
      </w:r>
    </w:p>
    <w:p w14:paraId="2331B1D2" w14:textId="0FE54243" w:rsidR="00C34DE2" w:rsidRPr="00771CAC" w:rsidRDefault="00C34DE2" w:rsidP="00C34DE2">
      <w:pPr>
        <w:pStyle w:val="ListParagraph"/>
        <w:numPr>
          <w:ilvl w:val="0"/>
          <w:numId w:val="5"/>
        </w:numPr>
        <w:jc w:val="both"/>
        <w:rPr>
          <w:rFonts w:ascii="Bookman Old Style" w:hAnsi="Bookman Old Style"/>
        </w:rPr>
      </w:pPr>
      <w:r w:rsidRPr="00771CAC">
        <w:rPr>
          <w:rFonts w:ascii="Bookman Old Style" w:hAnsi="Bookman Old Style"/>
        </w:rPr>
        <w:t>Leases of intangible assets</w:t>
      </w:r>
      <w:r w:rsidR="00562BAA" w:rsidRPr="00771CAC">
        <w:rPr>
          <w:rFonts w:ascii="Bookman Old Style" w:hAnsi="Bookman Old Style"/>
        </w:rPr>
        <w:t xml:space="preserve">, including rights to explore for or to exploit natural resources such as oil, gas, and minerals and similar nonregenerative resources; licensing contracts for items such as motion picture films, video recordings, plays, manuscripts, </w:t>
      </w:r>
      <w:proofErr w:type="gramStart"/>
      <w:r w:rsidR="00562BAA" w:rsidRPr="00771CAC">
        <w:rPr>
          <w:rFonts w:ascii="Bookman Old Style" w:hAnsi="Bookman Old Style"/>
        </w:rPr>
        <w:t>patents</w:t>
      </w:r>
      <w:proofErr w:type="gramEnd"/>
      <w:r w:rsidR="00562BAA" w:rsidRPr="00771CAC">
        <w:rPr>
          <w:rFonts w:ascii="Bookman Old Style" w:hAnsi="Bookman Old Style"/>
        </w:rPr>
        <w:t xml:space="preserve"> and copyrights; and licensing contracts for computer software.</w:t>
      </w:r>
    </w:p>
    <w:p w14:paraId="447F7B63" w14:textId="29D7B92F" w:rsidR="00C34DE2" w:rsidRPr="00771CAC" w:rsidRDefault="00C34DE2" w:rsidP="00C34DE2">
      <w:pPr>
        <w:pStyle w:val="ListParagraph"/>
        <w:numPr>
          <w:ilvl w:val="0"/>
          <w:numId w:val="5"/>
        </w:numPr>
        <w:jc w:val="both"/>
        <w:rPr>
          <w:rFonts w:ascii="Bookman Old Style" w:hAnsi="Bookman Old Style"/>
        </w:rPr>
      </w:pPr>
      <w:r w:rsidRPr="00771CAC">
        <w:rPr>
          <w:rFonts w:ascii="Bookman Old Style" w:hAnsi="Bookman Old Style"/>
        </w:rPr>
        <w:t>Leases of biological assets</w:t>
      </w:r>
      <w:r w:rsidR="00B35AAD" w:rsidRPr="00771CAC">
        <w:rPr>
          <w:rFonts w:ascii="Bookman Old Style" w:hAnsi="Bookman Old Style"/>
        </w:rPr>
        <w:t>, including timber, living plants, and living animals.</w:t>
      </w:r>
    </w:p>
    <w:p w14:paraId="69AD6459" w14:textId="53E7FD5D" w:rsidR="00C34DE2" w:rsidRPr="00771CAC" w:rsidRDefault="00C34DE2" w:rsidP="00C34DE2">
      <w:pPr>
        <w:pStyle w:val="ListParagraph"/>
        <w:numPr>
          <w:ilvl w:val="0"/>
          <w:numId w:val="5"/>
        </w:numPr>
        <w:jc w:val="both"/>
        <w:rPr>
          <w:rFonts w:ascii="Bookman Old Style" w:hAnsi="Bookman Old Style"/>
        </w:rPr>
      </w:pPr>
      <w:r w:rsidRPr="00771CAC">
        <w:rPr>
          <w:rFonts w:ascii="Bookman Old Style" w:hAnsi="Bookman Old Style"/>
        </w:rPr>
        <w:t>Leases of inventory</w:t>
      </w:r>
      <w:r w:rsidR="00B35AAD" w:rsidRPr="00771CAC">
        <w:rPr>
          <w:rFonts w:ascii="Bookman Old Style" w:hAnsi="Bookman Old Style"/>
        </w:rPr>
        <w:t>.</w:t>
      </w:r>
    </w:p>
    <w:p w14:paraId="3BEF8CF0" w14:textId="3CE1AC83" w:rsidR="00C34DE2" w:rsidRPr="00771CAC" w:rsidRDefault="00CC3CF4" w:rsidP="00C34DE2">
      <w:pPr>
        <w:pStyle w:val="ListParagraph"/>
        <w:numPr>
          <w:ilvl w:val="0"/>
          <w:numId w:val="5"/>
        </w:numPr>
        <w:jc w:val="both"/>
        <w:rPr>
          <w:rFonts w:ascii="Bookman Old Style" w:hAnsi="Bookman Old Style"/>
        </w:rPr>
      </w:pPr>
      <w:r w:rsidRPr="00771CAC">
        <w:rPr>
          <w:rFonts w:ascii="Bookman Old Style" w:hAnsi="Bookman Old Style"/>
        </w:rPr>
        <w:t>Contracts that meet the definition of a s</w:t>
      </w:r>
      <w:r w:rsidR="00C34DE2" w:rsidRPr="00771CAC">
        <w:rPr>
          <w:rFonts w:ascii="Bookman Old Style" w:hAnsi="Bookman Old Style"/>
        </w:rPr>
        <w:t>ervice concession arrangements (as specified in GASB 6</w:t>
      </w:r>
      <w:r w:rsidR="003E481D" w:rsidRPr="00771CAC">
        <w:rPr>
          <w:rFonts w:ascii="Bookman Old Style" w:hAnsi="Bookman Old Style"/>
        </w:rPr>
        <w:t>0, paragraph 4</w:t>
      </w:r>
      <w:r w:rsidR="00C34DE2" w:rsidRPr="00771CAC">
        <w:rPr>
          <w:rFonts w:ascii="Bookman Old Style" w:hAnsi="Bookman Old Style"/>
        </w:rPr>
        <w:t>)</w:t>
      </w:r>
      <w:r w:rsidR="003E481D" w:rsidRPr="00771CAC">
        <w:rPr>
          <w:rFonts w:ascii="Bookman Old Style" w:hAnsi="Bookman Old Style"/>
        </w:rPr>
        <w:t>.</w:t>
      </w:r>
    </w:p>
    <w:p w14:paraId="6FFEAE86" w14:textId="45250E65" w:rsidR="00C34DE2" w:rsidRPr="00771CAC" w:rsidRDefault="00C34DE2" w:rsidP="00C34DE2">
      <w:pPr>
        <w:pStyle w:val="ListParagraph"/>
        <w:numPr>
          <w:ilvl w:val="0"/>
          <w:numId w:val="5"/>
        </w:numPr>
        <w:jc w:val="both"/>
        <w:rPr>
          <w:rFonts w:ascii="Bookman Old Style" w:hAnsi="Bookman Old Style"/>
        </w:rPr>
      </w:pPr>
      <w:r w:rsidRPr="00771CAC">
        <w:rPr>
          <w:rFonts w:ascii="Bookman Old Style" w:hAnsi="Bookman Old Style"/>
        </w:rPr>
        <w:t>Leases of assets financed with outstanding conduit debt</w:t>
      </w:r>
      <w:r w:rsidR="003E481D" w:rsidRPr="00771CAC">
        <w:rPr>
          <w:rFonts w:ascii="Bookman Old Style" w:hAnsi="Bookman Old Style"/>
        </w:rPr>
        <w:t>, unless both the underlying asset and the conduit debt are reported by the lessor.</w:t>
      </w:r>
    </w:p>
    <w:p w14:paraId="187A34A2" w14:textId="1C7D357B" w:rsidR="00C34DE2" w:rsidRPr="00771CAC" w:rsidRDefault="00C34DE2" w:rsidP="00C34DE2">
      <w:pPr>
        <w:pStyle w:val="ListParagraph"/>
        <w:numPr>
          <w:ilvl w:val="0"/>
          <w:numId w:val="5"/>
        </w:numPr>
        <w:jc w:val="both"/>
        <w:rPr>
          <w:rFonts w:ascii="Bookman Old Style" w:hAnsi="Bookman Old Style"/>
        </w:rPr>
      </w:pPr>
      <w:r w:rsidRPr="00771CAC">
        <w:rPr>
          <w:rFonts w:ascii="Bookman Old Style" w:hAnsi="Bookman Old Style"/>
        </w:rPr>
        <w:t>Supply contracts</w:t>
      </w:r>
      <w:r w:rsidR="003E481D" w:rsidRPr="00771CAC">
        <w:rPr>
          <w:rFonts w:ascii="Bookman Old Style" w:hAnsi="Bookman Old Style"/>
        </w:rPr>
        <w:t>, such as power purchase agreements.</w:t>
      </w:r>
    </w:p>
    <w:p w14:paraId="7D47AEBA" w14:textId="77777777" w:rsidR="00C34DE2" w:rsidRPr="00771CAC" w:rsidRDefault="00C34DE2" w:rsidP="00C34DE2">
      <w:pPr>
        <w:pStyle w:val="ListParagraph"/>
        <w:jc w:val="both"/>
        <w:rPr>
          <w:rFonts w:ascii="Bookman Old Style" w:hAnsi="Bookman Old Style"/>
        </w:rPr>
      </w:pPr>
    </w:p>
    <w:p w14:paraId="0440CB98" w14:textId="39EC0C3E" w:rsidR="007D5481" w:rsidRPr="00771CAC" w:rsidRDefault="007D5481" w:rsidP="009E5970">
      <w:pPr>
        <w:jc w:val="both"/>
        <w:rPr>
          <w:rFonts w:ascii="Bookman Old Style" w:hAnsi="Bookman Old Style"/>
          <w:u w:val="single"/>
        </w:rPr>
      </w:pPr>
      <w:r w:rsidRPr="00771CAC">
        <w:rPr>
          <w:rFonts w:ascii="Bookman Old Style" w:hAnsi="Bookman Old Style"/>
          <w:u w:val="single"/>
        </w:rPr>
        <w:t xml:space="preserve">Threshold for Capitalization </w:t>
      </w:r>
      <w:r w:rsidR="00FF18D8" w:rsidRPr="00771CAC">
        <w:rPr>
          <w:rFonts w:ascii="Bookman Old Style" w:hAnsi="Bookman Old Style"/>
          <w:u w:val="single"/>
        </w:rPr>
        <w:t>of Right-To-Use Lease Assets</w:t>
      </w:r>
      <w:r w:rsidRPr="00771CAC">
        <w:rPr>
          <w:rFonts w:ascii="Bookman Old Style" w:hAnsi="Bookman Old Style"/>
          <w:u w:val="single"/>
        </w:rPr>
        <w:t xml:space="preserve"> </w:t>
      </w:r>
    </w:p>
    <w:p w14:paraId="1E84B450" w14:textId="505E2A78" w:rsidR="00CF6DF0" w:rsidRPr="00771CAC" w:rsidRDefault="00CF6DF0" w:rsidP="009E5970">
      <w:pPr>
        <w:jc w:val="both"/>
        <w:rPr>
          <w:rFonts w:ascii="Bookman Old Style" w:hAnsi="Bookman Old Style"/>
        </w:rPr>
      </w:pPr>
      <w:r w:rsidRPr="00771CAC">
        <w:rPr>
          <w:rFonts w:ascii="Bookman Old Style" w:hAnsi="Bookman Old Style"/>
        </w:rPr>
        <w:t xml:space="preserve">The establishment of a right-to-use lease asset capitalization </w:t>
      </w:r>
      <w:r w:rsidR="00DC39E1" w:rsidRPr="00771CAC">
        <w:rPr>
          <w:rFonts w:ascii="Bookman Old Style" w:hAnsi="Bookman Old Style"/>
        </w:rPr>
        <w:t>threshold policy has been recommended</w:t>
      </w:r>
      <w:r w:rsidR="009077B2" w:rsidRPr="00771CAC">
        <w:rPr>
          <w:rFonts w:ascii="Bookman Old Style" w:hAnsi="Bookman Old Style"/>
        </w:rPr>
        <w:t>.</w:t>
      </w:r>
      <w:r w:rsidR="00DC39E1" w:rsidRPr="00771CAC">
        <w:rPr>
          <w:rFonts w:ascii="Bookman Old Style" w:hAnsi="Bookman Old Style"/>
        </w:rPr>
        <w:t xml:space="preserve">  The policy should be approved by the Board of Supervisors.  The threshold is to be consistently applied by all departments and offices of the County for financial reporting purposes</w:t>
      </w:r>
      <w:r w:rsidR="00546A6C" w:rsidRPr="00771CAC">
        <w:rPr>
          <w:rFonts w:ascii="Bookman Old Style" w:hAnsi="Bookman Old Style"/>
        </w:rPr>
        <w:t xml:space="preserve"> and should overall capture most right-to-use lease contracts</w:t>
      </w:r>
      <w:r w:rsidR="00DC39E1" w:rsidRPr="00771CAC">
        <w:rPr>
          <w:rFonts w:ascii="Bookman Old Style" w:hAnsi="Bookman Old Style"/>
        </w:rPr>
        <w:t>.  All right-to-use lease assets at or above $</w:t>
      </w:r>
      <w:r w:rsidR="00340B01" w:rsidRPr="00771CAC">
        <w:rPr>
          <w:rFonts w:ascii="Bookman Old Style" w:hAnsi="Bookman Old Style"/>
        </w:rPr>
        <w:t xml:space="preserve">XXXX  </w:t>
      </w:r>
      <w:r w:rsidR="00DC39E1" w:rsidRPr="00771CAC">
        <w:rPr>
          <w:rFonts w:ascii="Bookman Old Style" w:hAnsi="Bookman Old Style"/>
        </w:rPr>
        <w:t xml:space="preserve"> must be </w:t>
      </w:r>
      <w:r w:rsidR="009E5970" w:rsidRPr="00771CAC">
        <w:rPr>
          <w:rFonts w:ascii="Bookman Old Style" w:hAnsi="Bookman Old Style"/>
        </w:rPr>
        <w:t>reported.</w:t>
      </w:r>
      <w:r w:rsidR="000404D9" w:rsidRPr="00771CAC">
        <w:rPr>
          <w:rFonts w:ascii="Bookman Old Style" w:hAnsi="Bookman Old Style"/>
        </w:rPr>
        <w:t xml:space="preserve">  </w:t>
      </w:r>
    </w:p>
    <w:p w14:paraId="065117BD" w14:textId="73306347" w:rsidR="000404D9" w:rsidRPr="00771CAC" w:rsidRDefault="000404D9" w:rsidP="009E5970">
      <w:pPr>
        <w:jc w:val="both"/>
        <w:rPr>
          <w:rFonts w:ascii="Bookman Old Style" w:hAnsi="Bookman Old Style"/>
        </w:rPr>
      </w:pPr>
      <w:proofErr w:type="gramStart"/>
      <w:r w:rsidRPr="00771CAC">
        <w:rPr>
          <w:rFonts w:ascii="Bookman Old Style" w:hAnsi="Bookman Old Style"/>
        </w:rPr>
        <w:t>As a general rule</w:t>
      </w:r>
      <w:proofErr w:type="gramEnd"/>
      <w:r w:rsidRPr="00771CAC">
        <w:rPr>
          <w:rFonts w:ascii="Bookman Old Style" w:hAnsi="Bookman Old Style"/>
        </w:rPr>
        <w:t>, the threshold should be applied to individual lease contracts.</w:t>
      </w:r>
    </w:p>
    <w:p w14:paraId="187C6EDD" w14:textId="77777777" w:rsidR="00860885" w:rsidRPr="00771CAC" w:rsidRDefault="00860885" w:rsidP="00860885">
      <w:pPr>
        <w:jc w:val="both"/>
        <w:rPr>
          <w:rFonts w:ascii="Bookman Old Style" w:hAnsi="Bookman Old Style"/>
          <w:u w:val="single"/>
        </w:rPr>
      </w:pPr>
    </w:p>
    <w:p w14:paraId="72EC6C5B" w14:textId="77777777" w:rsidR="00860885" w:rsidRPr="00771CAC" w:rsidRDefault="00860885" w:rsidP="00860885">
      <w:pPr>
        <w:jc w:val="both"/>
        <w:rPr>
          <w:rFonts w:ascii="Bookman Old Style" w:hAnsi="Bookman Old Style"/>
          <w:u w:val="single"/>
        </w:rPr>
      </w:pPr>
    </w:p>
    <w:p w14:paraId="1B4BD86E" w14:textId="1FCB384A" w:rsidR="00860885" w:rsidRPr="00771CAC" w:rsidRDefault="00860885" w:rsidP="00860885">
      <w:pPr>
        <w:jc w:val="both"/>
        <w:rPr>
          <w:rFonts w:ascii="Bookman Old Style" w:hAnsi="Bookman Old Style"/>
          <w:u w:val="single"/>
        </w:rPr>
      </w:pPr>
      <w:r w:rsidRPr="00771CAC">
        <w:rPr>
          <w:rFonts w:ascii="Bookman Old Style" w:hAnsi="Bookman Old Style"/>
          <w:u w:val="single"/>
        </w:rPr>
        <w:t>Right-to-use lease asset classifications:</w:t>
      </w:r>
    </w:p>
    <w:p w14:paraId="47BAB539" w14:textId="77777777" w:rsidR="00860885" w:rsidRPr="00771CAC" w:rsidRDefault="00860885" w:rsidP="00860885">
      <w:pPr>
        <w:jc w:val="both"/>
        <w:rPr>
          <w:rFonts w:ascii="Bookman Old Style" w:hAnsi="Bookman Old Style"/>
          <w:sz w:val="18"/>
          <w:szCs w:val="18"/>
        </w:rPr>
      </w:pPr>
      <w:r w:rsidRPr="00771CAC">
        <w:rPr>
          <w:rFonts w:ascii="Bookman Old Style" w:hAnsi="Bookman Old Style"/>
        </w:rPr>
        <w:t xml:space="preserve">The lessee is required to disclose the amount of lease assets (and the related amortization) by major classes of underlying assets, separately from other capital assets.  </w:t>
      </w:r>
      <w:r w:rsidRPr="00771CAC">
        <w:rPr>
          <w:rFonts w:ascii="Bookman Old Style" w:hAnsi="Bookman Old Style"/>
          <w:sz w:val="18"/>
          <w:szCs w:val="18"/>
        </w:rPr>
        <w:t>(GASB 87, paragraph 37)</w:t>
      </w:r>
    </w:p>
    <w:p w14:paraId="60C72D90" w14:textId="04E41353" w:rsidR="00860885" w:rsidRPr="00771CAC" w:rsidRDefault="00860885" w:rsidP="00860885">
      <w:pPr>
        <w:jc w:val="both"/>
        <w:rPr>
          <w:rFonts w:ascii="Bookman Old Style" w:hAnsi="Bookman Old Style"/>
        </w:rPr>
      </w:pPr>
      <w:r w:rsidRPr="00771CAC">
        <w:rPr>
          <w:rFonts w:ascii="Bookman Old Style" w:hAnsi="Bookman Old Style"/>
        </w:rPr>
        <w:t xml:space="preserve">At a minimum, the following major classes of underlying lease assets will be disclosed </w:t>
      </w:r>
      <w:r w:rsidR="00D3588E" w:rsidRPr="00771CAC">
        <w:rPr>
          <w:rFonts w:ascii="Bookman Old Style" w:hAnsi="Bookman Old Style"/>
        </w:rPr>
        <w:t>by the County.</w:t>
      </w:r>
    </w:p>
    <w:p w14:paraId="542BCFB1" w14:textId="77777777" w:rsidR="00860885" w:rsidRPr="00771CAC" w:rsidRDefault="00860885" w:rsidP="00860885">
      <w:pPr>
        <w:pStyle w:val="ListParagraph"/>
        <w:numPr>
          <w:ilvl w:val="0"/>
          <w:numId w:val="1"/>
        </w:numPr>
        <w:jc w:val="both"/>
        <w:rPr>
          <w:rFonts w:ascii="Bookman Old Style" w:hAnsi="Bookman Old Style"/>
        </w:rPr>
      </w:pPr>
      <w:r w:rsidRPr="00771CAC">
        <w:rPr>
          <w:rFonts w:ascii="Bookman Old Style" w:hAnsi="Bookman Old Style"/>
        </w:rPr>
        <w:t xml:space="preserve">Right-to-use leased land.  </w:t>
      </w:r>
    </w:p>
    <w:p w14:paraId="2FCBA619" w14:textId="77777777" w:rsidR="00860885" w:rsidRPr="00771CAC" w:rsidRDefault="00860885" w:rsidP="00860885">
      <w:pPr>
        <w:pStyle w:val="ListParagraph"/>
        <w:numPr>
          <w:ilvl w:val="0"/>
          <w:numId w:val="1"/>
        </w:numPr>
        <w:jc w:val="both"/>
        <w:rPr>
          <w:rFonts w:ascii="Bookman Old Style" w:hAnsi="Bookman Old Style"/>
        </w:rPr>
      </w:pPr>
      <w:r w:rsidRPr="00771CAC">
        <w:rPr>
          <w:rFonts w:ascii="Bookman Old Style" w:hAnsi="Bookman Old Style"/>
        </w:rPr>
        <w:t>Right-to-use leased buildings.</w:t>
      </w:r>
    </w:p>
    <w:p w14:paraId="32AFDD08" w14:textId="77777777" w:rsidR="00860885" w:rsidRPr="00771CAC" w:rsidRDefault="00860885" w:rsidP="00860885">
      <w:pPr>
        <w:pStyle w:val="ListParagraph"/>
        <w:numPr>
          <w:ilvl w:val="0"/>
          <w:numId w:val="1"/>
        </w:numPr>
        <w:jc w:val="both"/>
        <w:rPr>
          <w:rFonts w:ascii="Bookman Old Style" w:hAnsi="Bookman Old Style"/>
        </w:rPr>
      </w:pPr>
      <w:r w:rsidRPr="00771CAC">
        <w:rPr>
          <w:rFonts w:ascii="Bookman Old Style" w:hAnsi="Bookman Old Style"/>
        </w:rPr>
        <w:t>Right-to-use leased equipment.</w:t>
      </w:r>
    </w:p>
    <w:p w14:paraId="1FBF4E7B" w14:textId="77777777" w:rsidR="00860885" w:rsidRPr="00771CAC" w:rsidRDefault="00860885" w:rsidP="00860885">
      <w:pPr>
        <w:pStyle w:val="ListParagraph"/>
        <w:numPr>
          <w:ilvl w:val="0"/>
          <w:numId w:val="1"/>
        </w:numPr>
        <w:jc w:val="both"/>
        <w:rPr>
          <w:rFonts w:ascii="Bookman Old Style" w:hAnsi="Bookman Old Style"/>
        </w:rPr>
      </w:pPr>
      <w:r w:rsidRPr="00771CAC">
        <w:rPr>
          <w:rFonts w:ascii="Bookman Old Style" w:hAnsi="Bookman Old Style"/>
        </w:rPr>
        <w:t>Right-to-use leased improvements other than buildings.</w:t>
      </w:r>
    </w:p>
    <w:p w14:paraId="49F10BC3" w14:textId="77777777" w:rsidR="00860885" w:rsidRPr="00771CAC" w:rsidRDefault="00860885" w:rsidP="009E5970">
      <w:pPr>
        <w:jc w:val="both"/>
        <w:rPr>
          <w:rFonts w:ascii="Bookman Old Style" w:hAnsi="Bookman Old Style"/>
          <w:u w:val="single"/>
        </w:rPr>
      </w:pPr>
    </w:p>
    <w:p w14:paraId="46414670" w14:textId="3167EA4B" w:rsidR="00652DF7" w:rsidRPr="00771CAC" w:rsidRDefault="00652DF7" w:rsidP="009E5970">
      <w:pPr>
        <w:jc w:val="both"/>
        <w:rPr>
          <w:rFonts w:ascii="Bookman Old Style" w:hAnsi="Bookman Old Style"/>
          <w:u w:val="single"/>
        </w:rPr>
      </w:pPr>
      <w:r w:rsidRPr="00771CAC">
        <w:rPr>
          <w:rFonts w:ascii="Bookman Old Style" w:hAnsi="Bookman Old Style"/>
          <w:u w:val="single"/>
        </w:rPr>
        <w:t>Measurement and amortization:</w:t>
      </w:r>
    </w:p>
    <w:p w14:paraId="011743F9" w14:textId="2A3A8DC5" w:rsidR="00652DF7" w:rsidRPr="00771CAC" w:rsidRDefault="00E27B2D" w:rsidP="00652DF7">
      <w:pPr>
        <w:jc w:val="both"/>
        <w:rPr>
          <w:rFonts w:ascii="Bookman Old Style" w:hAnsi="Bookman Old Style"/>
        </w:rPr>
      </w:pPr>
      <w:r w:rsidRPr="00771CAC">
        <w:rPr>
          <w:rFonts w:ascii="Bookman Old Style" w:hAnsi="Bookman Old Style"/>
          <w:u w:val="single"/>
        </w:rPr>
        <w:t>Measurement:</w:t>
      </w:r>
      <w:r w:rsidRPr="00771CAC">
        <w:rPr>
          <w:rFonts w:ascii="Bookman Old Style" w:hAnsi="Bookman Old Style"/>
        </w:rPr>
        <w:t xml:space="preserve"> </w:t>
      </w:r>
      <w:r w:rsidR="00652DF7" w:rsidRPr="00771CAC">
        <w:rPr>
          <w:rFonts w:ascii="Bookman Old Style" w:hAnsi="Bookman Old Style"/>
        </w:rPr>
        <w:t xml:space="preserve">A lessee should initially measure the lease asset as the sum of the following: </w:t>
      </w:r>
      <w:r w:rsidR="00652DF7" w:rsidRPr="00091018">
        <w:rPr>
          <w:rFonts w:ascii="Bookman Old Style" w:hAnsi="Bookman Old Style"/>
          <w:sz w:val="18"/>
          <w:szCs w:val="18"/>
        </w:rPr>
        <w:t>(GASB 87, paragraph 30)</w:t>
      </w:r>
    </w:p>
    <w:p w14:paraId="74974919" w14:textId="735A35A9" w:rsidR="00652DF7" w:rsidRPr="00362F8E" w:rsidRDefault="00652DF7" w:rsidP="00652DF7">
      <w:pPr>
        <w:pStyle w:val="ListParagraph"/>
        <w:numPr>
          <w:ilvl w:val="0"/>
          <w:numId w:val="2"/>
        </w:numPr>
        <w:jc w:val="both"/>
        <w:rPr>
          <w:rFonts w:ascii="Bookman Old Style" w:hAnsi="Bookman Old Style"/>
        </w:rPr>
      </w:pPr>
      <w:r w:rsidRPr="00771CAC">
        <w:rPr>
          <w:rFonts w:ascii="Bookman Old Style" w:hAnsi="Bookman Old Style"/>
        </w:rPr>
        <w:t xml:space="preserve">The amount of the initial measurement of the lease </w:t>
      </w:r>
      <w:r w:rsidR="002222C6" w:rsidRPr="00771CAC">
        <w:rPr>
          <w:rFonts w:ascii="Bookman Old Style" w:hAnsi="Bookman Old Style"/>
        </w:rPr>
        <w:t>right-to-use asset</w:t>
      </w:r>
      <w:r w:rsidR="007E7F44" w:rsidRPr="00771CAC">
        <w:rPr>
          <w:rFonts w:ascii="Bookman Old Style" w:hAnsi="Bookman Old Style"/>
        </w:rPr>
        <w:t xml:space="preserve">.  </w:t>
      </w:r>
      <w:r w:rsidR="00047FA7" w:rsidRPr="00771CAC">
        <w:rPr>
          <w:rFonts w:ascii="Bookman Old Style" w:hAnsi="Bookman Old Style"/>
        </w:rPr>
        <w:t>(</w:t>
      </w:r>
      <w:r w:rsidR="007E7F44" w:rsidRPr="00771CAC">
        <w:rPr>
          <w:rFonts w:ascii="Bookman Old Style" w:hAnsi="Bookman Old Style"/>
        </w:rPr>
        <w:t xml:space="preserve">A lessee should </w:t>
      </w:r>
      <w:r w:rsidR="00E47EB6" w:rsidRPr="00771CAC">
        <w:rPr>
          <w:rFonts w:ascii="Bookman Old Style" w:hAnsi="Bookman Old Style"/>
        </w:rPr>
        <w:t xml:space="preserve">measure the lease liability </w:t>
      </w:r>
      <w:r w:rsidR="000A0D53" w:rsidRPr="00771CAC">
        <w:rPr>
          <w:rFonts w:ascii="Bookman Old Style" w:hAnsi="Bookman Old Style"/>
        </w:rPr>
        <w:t xml:space="preserve">and right-to-use asset </w:t>
      </w:r>
      <w:r w:rsidR="00E47EB6" w:rsidRPr="00771CAC">
        <w:rPr>
          <w:rFonts w:ascii="Bookman Old Style" w:hAnsi="Bookman Old Style"/>
        </w:rPr>
        <w:t>at the present value of payments expected to be made during the lease term</w:t>
      </w:r>
      <w:r w:rsidR="0075027C" w:rsidRPr="00771CAC">
        <w:rPr>
          <w:rFonts w:ascii="Bookman Old Style" w:hAnsi="Bookman Old Style"/>
        </w:rPr>
        <w:t>.</w:t>
      </w:r>
      <w:r w:rsidR="007F3B0C" w:rsidRPr="00771CAC">
        <w:rPr>
          <w:rFonts w:ascii="Bookman Old Style" w:hAnsi="Bookman Old Style"/>
          <w:sz w:val="18"/>
          <w:szCs w:val="18"/>
        </w:rPr>
        <w:t xml:space="preserve"> (GASB 87, paragraph 21</w:t>
      </w:r>
      <w:proofErr w:type="gramStart"/>
      <w:r w:rsidR="007F3B0C" w:rsidRPr="00091018">
        <w:rPr>
          <w:rFonts w:ascii="Bookman Old Style" w:hAnsi="Bookman Old Style"/>
        </w:rPr>
        <w:t>)</w:t>
      </w:r>
      <w:r w:rsidR="00047FA7" w:rsidRPr="00091018">
        <w:rPr>
          <w:rFonts w:ascii="Bookman Old Style" w:hAnsi="Bookman Old Style"/>
        </w:rPr>
        <w:t>)</w:t>
      </w:r>
      <w:r w:rsidR="005206D6" w:rsidRPr="00091018">
        <w:rPr>
          <w:rFonts w:ascii="Bookman Old Style" w:hAnsi="Bookman Old Style"/>
        </w:rPr>
        <w:t xml:space="preserve">  (</w:t>
      </w:r>
      <w:proofErr w:type="gramEnd"/>
      <w:r w:rsidR="005206D6" w:rsidRPr="00091018">
        <w:rPr>
          <w:rFonts w:ascii="Bookman Old Style" w:hAnsi="Bookman Old Style"/>
        </w:rPr>
        <w:t>For the year of implementation, the lease liability and right-to-use asset should be measured as of July 1, 2021.)</w:t>
      </w:r>
    </w:p>
    <w:p w14:paraId="6ADC3346" w14:textId="77777777" w:rsidR="00652DF7" w:rsidRPr="00771CAC" w:rsidRDefault="00652DF7" w:rsidP="00652DF7">
      <w:pPr>
        <w:pStyle w:val="ListParagraph"/>
        <w:numPr>
          <w:ilvl w:val="0"/>
          <w:numId w:val="2"/>
        </w:numPr>
        <w:jc w:val="both"/>
        <w:rPr>
          <w:rFonts w:ascii="Bookman Old Style" w:hAnsi="Bookman Old Style"/>
        </w:rPr>
      </w:pPr>
      <w:r w:rsidRPr="00771CAC">
        <w:rPr>
          <w:rFonts w:ascii="Bookman Old Style" w:hAnsi="Bookman Old Style"/>
        </w:rPr>
        <w:t>Lease payments made to the lessor at or before the commencement of the lease term, less any lease incentives received from the lessor at or before the commencement of the lease term</w:t>
      </w:r>
    </w:p>
    <w:p w14:paraId="1CA7FF17" w14:textId="4D6B53DA" w:rsidR="00652DF7" w:rsidRPr="00771CAC" w:rsidRDefault="00652DF7" w:rsidP="00652DF7">
      <w:pPr>
        <w:pStyle w:val="ListParagraph"/>
        <w:numPr>
          <w:ilvl w:val="0"/>
          <w:numId w:val="2"/>
        </w:numPr>
        <w:jc w:val="both"/>
        <w:rPr>
          <w:rFonts w:ascii="Bookman Old Style" w:hAnsi="Bookman Old Style"/>
        </w:rPr>
      </w:pPr>
      <w:r w:rsidRPr="00771CAC">
        <w:rPr>
          <w:rFonts w:ascii="Bookman Old Style" w:hAnsi="Bookman Old Style"/>
        </w:rPr>
        <w:t>Initial direct costs that are ancillary charges necessary to place the lease asset into service.</w:t>
      </w:r>
    </w:p>
    <w:p w14:paraId="1F33445A" w14:textId="68815284" w:rsidR="002D2BA3" w:rsidRPr="00771CAC" w:rsidRDefault="002D2BA3" w:rsidP="00652DF7">
      <w:pPr>
        <w:jc w:val="both"/>
        <w:rPr>
          <w:rFonts w:ascii="Bookman Old Style" w:hAnsi="Bookman Old Style"/>
          <w:sz w:val="18"/>
          <w:szCs w:val="18"/>
        </w:rPr>
      </w:pPr>
      <w:r w:rsidRPr="00771CAC">
        <w:rPr>
          <w:rFonts w:ascii="Bookman Old Style" w:hAnsi="Bookman Old Style"/>
          <w:u w:val="single"/>
        </w:rPr>
        <w:t>Amortizati</w:t>
      </w:r>
      <w:r w:rsidR="00E27B2D" w:rsidRPr="00771CAC">
        <w:rPr>
          <w:rFonts w:ascii="Bookman Old Style" w:hAnsi="Bookman Old Style"/>
          <w:u w:val="single"/>
        </w:rPr>
        <w:t>o</w:t>
      </w:r>
      <w:r w:rsidRPr="00771CAC">
        <w:rPr>
          <w:rFonts w:ascii="Bookman Old Style" w:hAnsi="Bookman Old Style"/>
          <w:u w:val="single"/>
        </w:rPr>
        <w:t>n:</w:t>
      </w:r>
      <w:r w:rsidRPr="00771CAC">
        <w:rPr>
          <w:rFonts w:ascii="Bookman Old Style" w:hAnsi="Bookman Old Style"/>
        </w:rPr>
        <w:t xml:space="preserve"> </w:t>
      </w:r>
      <w:r w:rsidR="005926A7" w:rsidRPr="00771CAC">
        <w:rPr>
          <w:rFonts w:ascii="Bookman Old Style" w:hAnsi="Bookman Old Style"/>
        </w:rPr>
        <w:t xml:space="preserve"> </w:t>
      </w:r>
      <w:r w:rsidRPr="00771CAC">
        <w:rPr>
          <w:rFonts w:ascii="Bookman Old Style" w:hAnsi="Bookman Old Style"/>
        </w:rPr>
        <w:t>A lease asset</w:t>
      </w:r>
      <w:r w:rsidR="005926A7" w:rsidRPr="00771CAC">
        <w:rPr>
          <w:rFonts w:ascii="Bookman Old Style" w:hAnsi="Bookman Old Style"/>
        </w:rPr>
        <w:t xml:space="preserve"> should be amortized using the straight-line method over the shorter of the lease term or the useful life of the underlying asset (except if the lessee is reasonably certain a purchase option will be exercised).  The amortization of the lease asset should be reported as amortization expense. </w:t>
      </w:r>
      <w:r w:rsidR="005926A7" w:rsidRPr="00771CAC">
        <w:rPr>
          <w:rFonts w:ascii="Bookman Old Style" w:hAnsi="Bookman Old Style"/>
          <w:sz w:val="18"/>
          <w:szCs w:val="18"/>
        </w:rPr>
        <w:t>(GASB 87, paragraph 31).</w:t>
      </w:r>
    </w:p>
    <w:p w14:paraId="4447735C" w14:textId="2BB63D11" w:rsidR="00112C19" w:rsidRDefault="00112C19" w:rsidP="00652DF7">
      <w:pPr>
        <w:jc w:val="both"/>
        <w:rPr>
          <w:rFonts w:ascii="Bookman Old Style" w:hAnsi="Bookman Old Style"/>
        </w:rPr>
      </w:pPr>
      <w:r w:rsidRPr="00771CAC">
        <w:rPr>
          <w:rFonts w:ascii="Bookman Old Style" w:hAnsi="Bookman Old Style"/>
        </w:rPr>
        <w:t xml:space="preserve">At a minimum, amortization should be calculated </w:t>
      </w:r>
      <w:proofErr w:type="gramStart"/>
      <w:r w:rsidRPr="00771CAC">
        <w:rPr>
          <w:rFonts w:ascii="Bookman Old Style" w:hAnsi="Bookman Old Style"/>
        </w:rPr>
        <w:t>on a monthly basis</w:t>
      </w:r>
      <w:proofErr w:type="gramEnd"/>
      <w:r w:rsidRPr="00771CAC">
        <w:rPr>
          <w:rFonts w:ascii="Bookman Old Style" w:hAnsi="Bookman Old Style"/>
        </w:rPr>
        <w:t xml:space="preserve">.  </w:t>
      </w:r>
    </w:p>
    <w:p w14:paraId="09518068" w14:textId="16B7D759" w:rsidR="008460A7" w:rsidRDefault="008460A7" w:rsidP="00652DF7">
      <w:pPr>
        <w:jc w:val="both"/>
        <w:rPr>
          <w:rFonts w:ascii="Bookman Old Style" w:hAnsi="Bookman Old Style"/>
        </w:rPr>
      </w:pPr>
    </w:p>
    <w:p w14:paraId="25CD2256" w14:textId="46318976" w:rsidR="008460A7" w:rsidRDefault="008460A7" w:rsidP="00652DF7">
      <w:pPr>
        <w:jc w:val="both"/>
        <w:rPr>
          <w:rFonts w:ascii="Bookman Old Style" w:hAnsi="Bookman Old Style"/>
        </w:rPr>
      </w:pPr>
      <w:r w:rsidRPr="0042749C">
        <w:rPr>
          <w:rFonts w:ascii="Bookman Old Style" w:hAnsi="Bookman Old Style"/>
          <w:b/>
          <w:bCs/>
        </w:rPr>
        <w:t>Approved by resolution No.</w:t>
      </w:r>
      <w:r w:rsidRPr="008460A7">
        <w:rPr>
          <w:rFonts w:ascii="Bookman Old Style" w:hAnsi="Bookman Old Style"/>
          <w:u w:val="single"/>
        </w:rPr>
        <w:t xml:space="preserve">         </w:t>
      </w:r>
      <w:r>
        <w:rPr>
          <w:rFonts w:ascii="Bookman Old Style" w:hAnsi="Bookman Old Style"/>
          <w:u w:val="single"/>
        </w:rPr>
        <w:t xml:space="preserve">         </w:t>
      </w:r>
      <w:r w:rsidRPr="008460A7">
        <w:rPr>
          <w:rFonts w:ascii="Bookman Old Style" w:hAnsi="Bookman Old Style"/>
          <w:u w:val="single"/>
        </w:rPr>
        <w:t xml:space="preserve"> </w:t>
      </w:r>
      <w:r>
        <w:rPr>
          <w:rFonts w:ascii="Bookman Old Style" w:hAnsi="Bookman Old Style"/>
        </w:rPr>
        <w:t xml:space="preserve"> </w:t>
      </w:r>
      <w:r w:rsidRPr="0042749C">
        <w:rPr>
          <w:rFonts w:ascii="Bookman Old Style" w:hAnsi="Bookman Old Style"/>
          <w:b/>
          <w:bCs/>
        </w:rPr>
        <w:t>on</w:t>
      </w:r>
      <w:r>
        <w:rPr>
          <w:rFonts w:ascii="Bookman Old Style" w:hAnsi="Bookman Old Style"/>
        </w:rPr>
        <w:t xml:space="preserve">  </w:t>
      </w:r>
      <w:r w:rsidRPr="008460A7">
        <w:rPr>
          <w:rFonts w:ascii="Bookman Old Style" w:hAnsi="Bookman Old Style"/>
          <w:u w:val="single"/>
        </w:rPr>
        <w:t xml:space="preserve">         </w:t>
      </w:r>
      <w:r>
        <w:rPr>
          <w:rFonts w:ascii="Bookman Old Style" w:hAnsi="Bookman Old Style"/>
          <w:u w:val="single"/>
        </w:rPr>
        <w:t xml:space="preserve">      </w:t>
      </w:r>
      <w:r w:rsidRPr="008460A7">
        <w:rPr>
          <w:rFonts w:ascii="Bookman Old Style" w:hAnsi="Bookman Old Style"/>
          <w:u w:val="single"/>
        </w:rPr>
        <w:t xml:space="preserve">   </w:t>
      </w:r>
      <w:proofErr w:type="gramStart"/>
      <w:r w:rsidRPr="008460A7">
        <w:rPr>
          <w:rFonts w:ascii="Bookman Old Style" w:hAnsi="Bookman Old Style"/>
          <w:u w:val="single"/>
        </w:rPr>
        <w:t xml:space="preserve">  </w:t>
      </w:r>
      <w:r>
        <w:rPr>
          <w:rFonts w:ascii="Bookman Old Style" w:hAnsi="Bookman Old Style"/>
        </w:rPr>
        <w:t>.</w:t>
      </w:r>
      <w:proofErr w:type="gramEnd"/>
    </w:p>
    <w:p w14:paraId="75734B9B" w14:textId="503F6ED2" w:rsidR="008460A7" w:rsidRDefault="008460A7" w:rsidP="00165193">
      <w:pPr>
        <w:spacing w:after="0"/>
        <w:jc w:val="both"/>
        <w:rPr>
          <w:rFonts w:ascii="Bookman Old Style" w:hAnsi="Bookman Old Style"/>
        </w:rPr>
      </w:pPr>
      <w:r w:rsidRPr="0042749C">
        <w:rPr>
          <w:rFonts w:ascii="Bookman Old Style" w:hAnsi="Bookman Old Style"/>
          <w:b/>
          <w:bCs/>
        </w:rPr>
        <w:t>Attest:</w:t>
      </w:r>
      <w:r>
        <w:rPr>
          <w:rFonts w:ascii="Bookman Old Style" w:hAnsi="Bookman Old Style"/>
        </w:rPr>
        <w:t xml:space="preserve"> </w:t>
      </w:r>
      <w:r w:rsidRPr="008460A7">
        <w:rPr>
          <w:rFonts w:ascii="Bookman Old Style" w:hAnsi="Bookman Old Style"/>
          <w:u w:val="single"/>
        </w:rPr>
        <w:t xml:space="preserve">                                            </w:t>
      </w:r>
      <w:r>
        <w:rPr>
          <w:rFonts w:ascii="Bookman Old Style" w:hAnsi="Bookman Old Style"/>
        </w:rPr>
        <w:t xml:space="preserve">      </w:t>
      </w:r>
      <w:r w:rsidRPr="0042749C">
        <w:rPr>
          <w:rFonts w:ascii="Bookman Old Style" w:hAnsi="Bookman Old Style"/>
          <w:b/>
          <w:bCs/>
        </w:rPr>
        <w:t>Date</w:t>
      </w:r>
      <w:r w:rsidRPr="0042749C">
        <w:rPr>
          <w:rFonts w:ascii="Bookman Old Style" w:hAnsi="Bookman Old Style"/>
          <w:b/>
          <w:bCs/>
          <w:u w:val="single"/>
        </w:rPr>
        <w:t>:</w:t>
      </w:r>
      <w:r>
        <w:rPr>
          <w:rFonts w:ascii="Bookman Old Style" w:hAnsi="Bookman Old Style"/>
        </w:rPr>
        <w:t xml:space="preserve"> </w:t>
      </w:r>
      <w:r w:rsidRPr="008460A7">
        <w:rPr>
          <w:rFonts w:ascii="Bookman Old Style" w:hAnsi="Bookman Old Style"/>
          <w:u w:val="single"/>
        </w:rPr>
        <w:t xml:space="preserve">                  </w:t>
      </w:r>
      <w:proofErr w:type="gramStart"/>
      <w:r w:rsidRPr="008460A7">
        <w:rPr>
          <w:rFonts w:ascii="Bookman Old Style" w:hAnsi="Bookman Old Style"/>
          <w:u w:val="single"/>
        </w:rPr>
        <w:t xml:space="preserve">  </w:t>
      </w:r>
      <w:r>
        <w:rPr>
          <w:rFonts w:ascii="Bookman Old Style" w:hAnsi="Bookman Old Style"/>
          <w:u w:val="single"/>
        </w:rPr>
        <w:t>.</w:t>
      </w:r>
      <w:proofErr w:type="gramEnd"/>
      <w:r>
        <w:rPr>
          <w:rFonts w:ascii="Bookman Old Style" w:hAnsi="Bookman Old Style"/>
        </w:rPr>
        <w:t xml:space="preserve">                 </w:t>
      </w:r>
    </w:p>
    <w:p w14:paraId="60B0FE72" w14:textId="10784212" w:rsidR="008460A7" w:rsidRPr="0042749C" w:rsidRDefault="008460A7" w:rsidP="00165193">
      <w:pPr>
        <w:spacing w:after="0"/>
        <w:jc w:val="both"/>
        <w:rPr>
          <w:rFonts w:ascii="Bookman Old Style" w:hAnsi="Bookman Old Style"/>
          <w:b/>
          <w:bCs/>
        </w:rPr>
      </w:pPr>
      <w:r>
        <w:rPr>
          <w:rFonts w:ascii="Bookman Old Style" w:hAnsi="Bookman Old Style"/>
        </w:rPr>
        <w:t xml:space="preserve">         </w:t>
      </w:r>
      <w:r w:rsidR="00165193">
        <w:rPr>
          <w:rFonts w:ascii="Bookman Old Style" w:hAnsi="Bookman Old Style"/>
        </w:rPr>
        <w:t xml:space="preserve">     </w:t>
      </w:r>
      <w:r w:rsidRPr="0042749C">
        <w:rPr>
          <w:rFonts w:ascii="Bookman Old Style" w:hAnsi="Bookman Old Style"/>
          <w:b/>
          <w:bCs/>
        </w:rPr>
        <w:t>County Auditor</w:t>
      </w:r>
    </w:p>
    <w:p w14:paraId="59FE6E6C" w14:textId="77777777" w:rsidR="002D2BA3" w:rsidRPr="00771CAC" w:rsidRDefault="002D2BA3" w:rsidP="00652DF7">
      <w:pPr>
        <w:jc w:val="both"/>
        <w:rPr>
          <w:rFonts w:ascii="Bookman Old Style" w:hAnsi="Bookman Old Style"/>
        </w:rPr>
      </w:pPr>
    </w:p>
    <w:p w14:paraId="75405803" w14:textId="407D70E9" w:rsidR="00652DF7" w:rsidRPr="00771CAC" w:rsidRDefault="00652DF7" w:rsidP="009E5970">
      <w:pPr>
        <w:jc w:val="both"/>
        <w:rPr>
          <w:rFonts w:ascii="Bookman Old Style" w:hAnsi="Bookman Old Style"/>
        </w:rPr>
      </w:pPr>
    </w:p>
    <w:p w14:paraId="082E7E28" w14:textId="77777777" w:rsidR="00DB0C8F" w:rsidRPr="00771CAC" w:rsidRDefault="00DB0C8F" w:rsidP="009E5970">
      <w:pPr>
        <w:jc w:val="both"/>
        <w:rPr>
          <w:rFonts w:ascii="Bookman Old Style" w:hAnsi="Bookman Old Style"/>
        </w:rPr>
      </w:pPr>
    </w:p>
    <w:sectPr w:rsidR="00DB0C8F" w:rsidRPr="00771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7E10"/>
    <w:multiLevelType w:val="hybridMultilevel"/>
    <w:tmpl w:val="35AEAFF0"/>
    <w:lvl w:ilvl="0" w:tplc="1D22FD4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23DB8"/>
    <w:multiLevelType w:val="hybridMultilevel"/>
    <w:tmpl w:val="E58CAE24"/>
    <w:lvl w:ilvl="0" w:tplc="13B2DC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626A6"/>
    <w:multiLevelType w:val="hybridMultilevel"/>
    <w:tmpl w:val="783AE440"/>
    <w:lvl w:ilvl="0" w:tplc="2B944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453FD"/>
    <w:multiLevelType w:val="hybridMultilevel"/>
    <w:tmpl w:val="2A184FF2"/>
    <w:lvl w:ilvl="0" w:tplc="82986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4151BD"/>
    <w:multiLevelType w:val="hybridMultilevel"/>
    <w:tmpl w:val="6E8C71EC"/>
    <w:lvl w:ilvl="0" w:tplc="2B944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01"/>
    <w:rsid w:val="00026127"/>
    <w:rsid w:val="000404D9"/>
    <w:rsid w:val="00047FA7"/>
    <w:rsid w:val="000623B3"/>
    <w:rsid w:val="00090596"/>
    <w:rsid w:val="00091018"/>
    <w:rsid w:val="000A0D53"/>
    <w:rsid w:val="000B65FD"/>
    <w:rsid w:val="000F5CD7"/>
    <w:rsid w:val="000F65A0"/>
    <w:rsid w:val="00112C19"/>
    <w:rsid w:val="00165193"/>
    <w:rsid w:val="0017045A"/>
    <w:rsid w:val="001C5EF7"/>
    <w:rsid w:val="001D0A88"/>
    <w:rsid w:val="002222C6"/>
    <w:rsid w:val="002A54D1"/>
    <w:rsid w:val="002D2BA3"/>
    <w:rsid w:val="00300785"/>
    <w:rsid w:val="00330A39"/>
    <w:rsid w:val="00335E3D"/>
    <w:rsid w:val="00340B01"/>
    <w:rsid w:val="00362F8E"/>
    <w:rsid w:val="0036344C"/>
    <w:rsid w:val="003A3F6A"/>
    <w:rsid w:val="003B16B6"/>
    <w:rsid w:val="003B2084"/>
    <w:rsid w:val="003C7B25"/>
    <w:rsid w:val="003E194A"/>
    <w:rsid w:val="003E481D"/>
    <w:rsid w:val="0041236B"/>
    <w:rsid w:val="0042749C"/>
    <w:rsid w:val="00474551"/>
    <w:rsid w:val="004B7220"/>
    <w:rsid w:val="004C2F1E"/>
    <w:rsid w:val="005206D6"/>
    <w:rsid w:val="00540662"/>
    <w:rsid w:val="00546A6C"/>
    <w:rsid w:val="005533E5"/>
    <w:rsid w:val="00562BAA"/>
    <w:rsid w:val="005647CC"/>
    <w:rsid w:val="00581F14"/>
    <w:rsid w:val="005926A7"/>
    <w:rsid w:val="006069CE"/>
    <w:rsid w:val="00652DF7"/>
    <w:rsid w:val="00671901"/>
    <w:rsid w:val="00682C74"/>
    <w:rsid w:val="006B2456"/>
    <w:rsid w:val="006D4EFE"/>
    <w:rsid w:val="00731658"/>
    <w:rsid w:val="0075027C"/>
    <w:rsid w:val="007553E4"/>
    <w:rsid w:val="00762E75"/>
    <w:rsid w:val="00766479"/>
    <w:rsid w:val="00771CAC"/>
    <w:rsid w:val="0078269F"/>
    <w:rsid w:val="00797A20"/>
    <w:rsid w:val="007A25C0"/>
    <w:rsid w:val="007A56AA"/>
    <w:rsid w:val="007C61CD"/>
    <w:rsid w:val="007D5481"/>
    <w:rsid w:val="007E361A"/>
    <w:rsid w:val="007E7F44"/>
    <w:rsid w:val="007F3B0C"/>
    <w:rsid w:val="008273E2"/>
    <w:rsid w:val="00845797"/>
    <w:rsid w:val="008460A7"/>
    <w:rsid w:val="00860885"/>
    <w:rsid w:val="008F57EE"/>
    <w:rsid w:val="00903D95"/>
    <w:rsid w:val="009077B2"/>
    <w:rsid w:val="00954336"/>
    <w:rsid w:val="00964301"/>
    <w:rsid w:val="009B229F"/>
    <w:rsid w:val="009E5970"/>
    <w:rsid w:val="00A55D17"/>
    <w:rsid w:val="00A57FCA"/>
    <w:rsid w:val="00A61178"/>
    <w:rsid w:val="00A83667"/>
    <w:rsid w:val="00AE5323"/>
    <w:rsid w:val="00B35AAD"/>
    <w:rsid w:val="00B72DAB"/>
    <w:rsid w:val="00B857CD"/>
    <w:rsid w:val="00BB4CD3"/>
    <w:rsid w:val="00BC523F"/>
    <w:rsid w:val="00BC7B70"/>
    <w:rsid w:val="00BD60A4"/>
    <w:rsid w:val="00C34DE2"/>
    <w:rsid w:val="00C41CD5"/>
    <w:rsid w:val="00CC3CF4"/>
    <w:rsid w:val="00CC5242"/>
    <w:rsid w:val="00CF6DF0"/>
    <w:rsid w:val="00D1520A"/>
    <w:rsid w:val="00D253BD"/>
    <w:rsid w:val="00D3588E"/>
    <w:rsid w:val="00DA153D"/>
    <w:rsid w:val="00DA23BA"/>
    <w:rsid w:val="00DB0C8F"/>
    <w:rsid w:val="00DC39E1"/>
    <w:rsid w:val="00DF6202"/>
    <w:rsid w:val="00E040C0"/>
    <w:rsid w:val="00E16B7C"/>
    <w:rsid w:val="00E218DF"/>
    <w:rsid w:val="00E24E6C"/>
    <w:rsid w:val="00E27B2D"/>
    <w:rsid w:val="00E47EB6"/>
    <w:rsid w:val="00E534AF"/>
    <w:rsid w:val="00E64B0F"/>
    <w:rsid w:val="00E729BD"/>
    <w:rsid w:val="00E9179D"/>
    <w:rsid w:val="00EE4F48"/>
    <w:rsid w:val="00F02C2D"/>
    <w:rsid w:val="00FB63E6"/>
    <w:rsid w:val="00FC3F16"/>
    <w:rsid w:val="00FF18D8"/>
    <w:rsid w:val="00FF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4C20"/>
  <w15:chartTrackingRefBased/>
  <w15:docId w15:val="{6495A17E-D164-498B-9D81-4C93F5CB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Johnson</dc:creator>
  <cp:keywords/>
  <dc:description/>
  <cp:lastModifiedBy>Selina Johnson</cp:lastModifiedBy>
  <cp:revision>121</cp:revision>
  <cp:lastPrinted>2022-10-27T12:46:00Z</cp:lastPrinted>
  <dcterms:created xsi:type="dcterms:W3CDTF">2022-09-26T20:02:00Z</dcterms:created>
  <dcterms:modified xsi:type="dcterms:W3CDTF">2022-10-27T20:13:00Z</dcterms:modified>
</cp:coreProperties>
</file>